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page" w:tblpX="905" w:tblpY="904"/>
        <w:tblW w:w="0" w:type="auto"/>
        <w:tblLayout w:type="fixed"/>
        <w:tblLook w:val="04A0" w:firstRow="1" w:lastRow="0" w:firstColumn="1" w:lastColumn="0" w:noHBand="0" w:noVBand="1"/>
      </w:tblPr>
      <w:tblGrid>
        <w:gridCol w:w="715"/>
        <w:gridCol w:w="1950"/>
        <w:gridCol w:w="2130"/>
        <w:gridCol w:w="2130"/>
        <w:gridCol w:w="1890"/>
        <w:gridCol w:w="2520"/>
        <w:gridCol w:w="2340"/>
      </w:tblGrid>
      <w:tr w:rsidR="0034482C" w14:paraId="0E6C00C9" w14:textId="77777777" w:rsidTr="000E44AD">
        <w:trPr>
          <w:trHeight w:val="440"/>
        </w:trPr>
        <w:tc>
          <w:tcPr>
            <w:tcW w:w="715" w:type="dxa"/>
            <w:tcBorders>
              <w:top w:val="nil"/>
              <w:left w:val="nil"/>
              <w:bottom w:val="nil"/>
            </w:tcBorders>
          </w:tcPr>
          <w:p w14:paraId="1C972AC8" w14:textId="77777777" w:rsidR="0034482C" w:rsidRPr="00D7580A" w:rsidRDefault="0034482C" w:rsidP="006835E0">
            <w:pPr>
              <w:jc w:val="center"/>
              <w:rPr>
                <w:b/>
              </w:rPr>
            </w:pPr>
          </w:p>
        </w:tc>
        <w:tc>
          <w:tcPr>
            <w:tcW w:w="1950" w:type="dxa"/>
            <w:tcBorders>
              <w:bottom w:val="single" w:sz="4" w:space="0" w:color="auto"/>
            </w:tcBorders>
          </w:tcPr>
          <w:p w14:paraId="6E50EE0E" w14:textId="52149826" w:rsidR="0034482C" w:rsidRPr="0034482C" w:rsidRDefault="0034482C" w:rsidP="00710EFF">
            <w:pPr>
              <w:rPr>
                <w:b/>
                <w:color w:val="280CB4"/>
                <w:sz w:val="20"/>
                <w:szCs w:val="20"/>
              </w:rPr>
            </w:pPr>
            <w:r w:rsidRPr="0034482C">
              <w:rPr>
                <w:b/>
                <w:color w:val="280CB4"/>
                <w:sz w:val="20"/>
                <w:szCs w:val="20"/>
              </w:rPr>
              <w:t>Grade:</w:t>
            </w:r>
          </w:p>
        </w:tc>
        <w:tc>
          <w:tcPr>
            <w:tcW w:w="2130" w:type="dxa"/>
            <w:tcBorders>
              <w:bottom w:val="single" w:sz="4" w:space="0" w:color="auto"/>
            </w:tcBorders>
          </w:tcPr>
          <w:p w14:paraId="31C98027" w14:textId="5B61235E" w:rsidR="0034482C" w:rsidRPr="0034482C" w:rsidRDefault="0034482C" w:rsidP="00710EFF">
            <w:pPr>
              <w:rPr>
                <w:b/>
                <w:color w:val="280CB4"/>
                <w:sz w:val="20"/>
                <w:szCs w:val="20"/>
              </w:rPr>
            </w:pPr>
            <w:r w:rsidRPr="0034482C">
              <w:rPr>
                <w:b/>
                <w:color w:val="280CB4"/>
                <w:sz w:val="20"/>
                <w:szCs w:val="20"/>
              </w:rPr>
              <w:t>Subject:</w:t>
            </w:r>
          </w:p>
        </w:tc>
        <w:tc>
          <w:tcPr>
            <w:tcW w:w="2130" w:type="dxa"/>
            <w:tcBorders>
              <w:bottom w:val="single" w:sz="4" w:space="0" w:color="auto"/>
            </w:tcBorders>
          </w:tcPr>
          <w:p w14:paraId="1A4635C2" w14:textId="5AFDC0E4" w:rsidR="0034482C" w:rsidRPr="0034482C" w:rsidRDefault="0034482C" w:rsidP="00710EFF">
            <w:pPr>
              <w:rPr>
                <w:b/>
                <w:color w:val="280CB4"/>
                <w:sz w:val="20"/>
                <w:szCs w:val="20"/>
              </w:rPr>
            </w:pPr>
            <w:r w:rsidRPr="0034482C">
              <w:rPr>
                <w:b/>
                <w:color w:val="280CB4"/>
                <w:sz w:val="20"/>
                <w:szCs w:val="20"/>
              </w:rPr>
              <w:t>Semester:</w:t>
            </w:r>
          </w:p>
        </w:tc>
        <w:tc>
          <w:tcPr>
            <w:tcW w:w="6750" w:type="dxa"/>
            <w:gridSpan w:val="3"/>
            <w:tcBorders>
              <w:bottom w:val="single" w:sz="4" w:space="0" w:color="auto"/>
            </w:tcBorders>
          </w:tcPr>
          <w:p w14:paraId="252B6FC8" w14:textId="5820B2A2" w:rsidR="0034482C" w:rsidRPr="0034482C" w:rsidRDefault="0034482C" w:rsidP="0034482C">
            <w:pPr>
              <w:rPr>
                <w:b/>
                <w:color w:val="280CB4"/>
                <w:sz w:val="20"/>
                <w:szCs w:val="20"/>
              </w:rPr>
            </w:pPr>
            <w:r w:rsidRPr="0034482C">
              <w:rPr>
                <w:b/>
                <w:color w:val="280CB4"/>
                <w:sz w:val="20"/>
                <w:szCs w:val="20"/>
              </w:rPr>
              <w:t>Team Members:</w:t>
            </w:r>
          </w:p>
        </w:tc>
      </w:tr>
      <w:tr w:rsidR="0034482C" w:rsidRPr="0034482C" w14:paraId="1907D961" w14:textId="77777777" w:rsidTr="0034482C">
        <w:tc>
          <w:tcPr>
            <w:tcW w:w="715" w:type="dxa"/>
            <w:tcBorders>
              <w:top w:val="nil"/>
              <w:left w:val="nil"/>
              <w:right w:val="nil"/>
            </w:tcBorders>
          </w:tcPr>
          <w:p w14:paraId="6DD9AE1F" w14:textId="77777777" w:rsidR="0034482C" w:rsidRPr="0034482C" w:rsidRDefault="0034482C" w:rsidP="006835E0">
            <w:pPr>
              <w:jc w:val="center"/>
              <w:rPr>
                <w:b/>
                <w:sz w:val="12"/>
                <w:szCs w:val="16"/>
              </w:rPr>
            </w:pPr>
          </w:p>
        </w:tc>
        <w:tc>
          <w:tcPr>
            <w:tcW w:w="1950" w:type="dxa"/>
            <w:tcBorders>
              <w:left w:val="nil"/>
              <w:right w:val="nil"/>
            </w:tcBorders>
          </w:tcPr>
          <w:p w14:paraId="52F9D219" w14:textId="77777777" w:rsidR="0034482C" w:rsidRPr="0034482C" w:rsidRDefault="0034482C" w:rsidP="00710EFF">
            <w:pPr>
              <w:rPr>
                <w:b/>
                <w:sz w:val="12"/>
                <w:szCs w:val="16"/>
              </w:rPr>
            </w:pPr>
          </w:p>
        </w:tc>
        <w:tc>
          <w:tcPr>
            <w:tcW w:w="2130" w:type="dxa"/>
            <w:tcBorders>
              <w:left w:val="nil"/>
              <w:right w:val="nil"/>
            </w:tcBorders>
          </w:tcPr>
          <w:p w14:paraId="54FDE638" w14:textId="77777777" w:rsidR="0034482C" w:rsidRPr="0034482C" w:rsidRDefault="0034482C" w:rsidP="00710EFF">
            <w:pPr>
              <w:rPr>
                <w:b/>
                <w:sz w:val="12"/>
                <w:szCs w:val="16"/>
              </w:rPr>
            </w:pPr>
          </w:p>
        </w:tc>
        <w:tc>
          <w:tcPr>
            <w:tcW w:w="2130" w:type="dxa"/>
            <w:tcBorders>
              <w:left w:val="nil"/>
              <w:right w:val="nil"/>
            </w:tcBorders>
          </w:tcPr>
          <w:p w14:paraId="2B75C3B8" w14:textId="77777777" w:rsidR="0034482C" w:rsidRPr="0034482C" w:rsidRDefault="0034482C" w:rsidP="00710EFF">
            <w:pPr>
              <w:rPr>
                <w:b/>
                <w:sz w:val="12"/>
                <w:szCs w:val="16"/>
              </w:rPr>
            </w:pPr>
          </w:p>
        </w:tc>
        <w:tc>
          <w:tcPr>
            <w:tcW w:w="1890" w:type="dxa"/>
            <w:tcBorders>
              <w:left w:val="nil"/>
              <w:right w:val="nil"/>
            </w:tcBorders>
          </w:tcPr>
          <w:p w14:paraId="5FE2275C" w14:textId="77777777" w:rsidR="0034482C" w:rsidRPr="0034482C" w:rsidRDefault="0034482C" w:rsidP="00710EFF">
            <w:pPr>
              <w:rPr>
                <w:b/>
                <w:sz w:val="12"/>
                <w:szCs w:val="16"/>
              </w:rPr>
            </w:pPr>
          </w:p>
        </w:tc>
        <w:tc>
          <w:tcPr>
            <w:tcW w:w="2520" w:type="dxa"/>
            <w:tcBorders>
              <w:left w:val="nil"/>
              <w:right w:val="nil"/>
            </w:tcBorders>
          </w:tcPr>
          <w:p w14:paraId="020CD323" w14:textId="77777777" w:rsidR="0034482C" w:rsidRPr="0034482C" w:rsidRDefault="0034482C" w:rsidP="006835E0">
            <w:pPr>
              <w:jc w:val="center"/>
              <w:rPr>
                <w:b/>
                <w:sz w:val="12"/>
                <w:szCs w:val="16"/>
              </w:rPr>
            </w:pPr>
          </w:p>
        </w:tc>
        <w:tc>
          <w:tcPr>
            <w:tcW w:w="2340" w:type="dxa"/>
            <w:tcBorders>
              <w:left w:val="nil"/>
              <w:right w:val="nil"/>
            </w:tcBorders>
          </w:tcPr>
          <w:p w14:paraId="410C899B" w14:textId="77777777" w:rsidR="0034482C" w:rsidRPr="0034482C" w:rsidRDefault="0034482C" w:rsidP="006835E0">
            <w:pPr>
              <w:jc w:val="center"/>
              <w:rPr>
                <w:b/>
                <w:sz w:val="12"/>
                <w:szCs w:val="16"/>
              </w:rPr>
            </w:pPr>
          </w:p>
        </w:tc>
      </w:tr>
      <w:tr w:rsidR="006B627E" w14:paraId="31AAF915" w14:textId="77777777" w:rsidTr="00710EFF">
        <w:tc>
          <w:tcPr>
            <w:tcW w:w="715" w:type="dxa"/>
          </w:tcPr>
          <w:p w14:paraId="314519A9" w14:textId="77777777" w:rsidR="006835E0" w:rsidRPr="00D7580A" w:rsidRDefault="006835E0" w:rsidP="006835E0">
            <w:pPr>
              <w:jc w:val="center"/>
              <w:rPr>
                <w:b/>
              </w:rPr>
            </w:pPr>
          </w:p>
        </w:tc>
        <w:tc>
          <w:tcPr>
            <w:tcW w:w="1950" w:type="dxa"/>
          </w:tcPr>
          <w:p w14:paraId="2677D508" w14:textId="44349BAD" w:rsidR="006835E0" w:rsidRPr="00710EFF" w:rsidRDefault="006835E0" w:rsidP="006835E0">
            <w:pPr>
              <w:jc w:val="center"/>
              <w:rPr>
                <w:b/>
                <w:sz w:val="20"/>
                <w:szCs w:val="20"/>
              </w:rPr>
            </w:pPr>
            <w:r w:rsidRPr="00710EFF">
              <w:rPr>
                <w:b/>
                <w:sz w:val="20"/>
                <w:szCs w:val="20"/>
              </w:rPr>
              <w:t>Description of Standard</w:t>
            </w:r>
          </w:p>
        </w:tc>
        <w:tc>
          <w:tcPr>
            <w:tcW w:w="2130" w:type="dxa"/>
          </w:tcPr>
          <w:p w14:paraId="5E345A90" w14:textId="77777777" w:rsidR="006835E0" w:rsidRPr="00710EFF" w:rsidRDefault="006835E0" w:rsidP="006835E0">
            <w:pPr>
              <w:jc w:val="center"/>
              <w:rPr>
                <w:b/>
                <w:sz w:val="20"/>
                <w:szCs w:val="20"/>
              </w:rPr>
            </w:pPr>
            <w:r w:rsidRPr="00710EFF">
              <w:rPr>
                <w:b/>
                <w:sz w:val="20"/>
                <w:szCs w:val="20"/>
              </w:rPr>
              <w:t>Example of Rigor</w:t>
            </w:r>
          </w:p>
        </w:tc>
        <w:tc>
          <w:tcPr>
            <w:tcW w:w="2130" w:type="dxa"/>
          </w:tcPr>
          <w:p w14:paraId="19832B2B" w14:textId="77777777" w:rsidR="006835E0" w:rsidRPr="00710EFF" w:rsidRDefault="006835E0" w:rsidP="006835E0">
            <w:pPr>
              <w:jc w:val="center"/>
              <w:rPr>
                <w:b/>
                <w:sz w:val="20"/>
                <w:szCs w:val="20"/>
              </w:rPr>
            </w:pPr>
            <w:r w:rsidRPr="00710EFF">
              <w:rPr>
                <w:b/>
                <w:sz w:val="20"/>
                <w:szCs w:val="20"/>
              </w:rPr>
              <w:t>Prerequisite Skills</w:t>
            </w:r>
          </w:p>
          <w:p w14:paraId="581BD6D4" w14:textId="77777777" w:rsidR="006835E0" w:rsidRPr="00710EFF" w:rsidRDefault="006835E0" w:rsidP="006835E0">
            <w:pPr>
              <w:jc w:val="center"/>
              <w:rPr>
                <w:b/>
                <w:sz w:val="20"/>
                <w:szCs w:val="20"/>
              </w:rPr>
            </w:pPr>
            <w:r w:rsidRPr="00710EFF">
              <w:rPr>
                <w:b/>
                <w:sz w:val="20"/>
                <w:szCs w:val="20"/>
              </w:rPr>
              <w:t>(Possible Tier Support)</w:t>
            </w:r>
          </w:p>
        </w:tc>
        <w:tc>
          <w:tcPr>
            <w:tcW w:w="1890" w:type="dxa"/>
          </w:tcPr>
          <w:p w14:paraId="3F0D646C" w14:textId="77777777" w:rsidR="006835E0" w:rsidRPr="00710EFF" w:rsidRDefault="006835E0" w:rsidP="006835E0">
            <w:pPr>
              <w:jc w:val="center"/>
              <w:rPr>
                <w:b/>
                <w:sz w:val="20"/>
                <w:szCs w:val="20"/>
              </w:rPr>
            </w:pPr>
            <w:r w:rsidRPr="00710EFF">
              <w:rPr>
                <w:b/>
                <w:sz w:val="20"/>
                <w:szCs w:val="20"/>
              </w:rPr>
              <w:t>When Taught?</w:t>
            </w:r>
          </w:p>
        </w:tc>
        <w:tc>
          <w:tcPr>
            <w:tcW w:w="2520" w:type="dxa"/>
          </w:tcPr>
          <w:p w14:paraId="7FD2622A" w14:textId="51C552E9" w:rsidR="006835E0" w:rsidRPr="00710EFF" w:rsidRDefault="006835E0" w:rsidP="006835E0">
            <w:pPr>
              <w:jc w:val="center"/>
              <w:rPr>
                <w:b/>
                <w:sz w:val="20"/>
                <w:szCs w:val="20"/>
              </w:rPr>
            </w:pPr>
            <w:r w:rsidRPr="00710EFF">
              <w:rPr>
                <w:b/>
                <w:sz w:val="20"/>
                <w:szCs w:val="20"/>
              </w:rPr>
              <w:t>Common  Assessments</w:t>
            </w:r>
          </w:p>
        </w:tc>
        <w:tc>
          <w:tcPr>
            <w:tcW w:w="2340" w:type="dxa"/>
          </w:tcPr>
          <w:p w14:paraId="450CEAC8" w14:textId="77777777" w:rsidR="006835E0" w:rsidRPr="00710EFF" w:rsidRDefault="006835E0" w:rsidP="006835E0">
            <w:pPr>
              <w:jc w:val="center"/>
              <w:rPr>
                <w:b/>
                <w:sz w:val="20"/>
                <w:szCs w:val="20"/>
              </w:rPr>
            </w:pPr>
            <w:r w:rsidRPr="00710EFF">
              <w:rPr>
                <w:b/>
                <w:sz w:val="20"/>
                <w:szCs w:val="20"/>
              </w:rPr>
              <w:t>Extension</w:t>
            </w:r>
          </w:p>
          <w:p w14:paraId="1B97C882" w14:textId="77777777" w:rsidR="006835E0" w:rsidRPr="00710EFF" w:rsidRDefault="006835E0" w:rsidP="006835E0">
            <w:pPr>
              <w:jc w:val="center"/>
              <w:rPr>
                <w:b/>
                <w:sz w:val="20"/>
                <w:szCs w:val="20"/>
              </w:rPr>
            </w:pPr>
            <w:r w:rsidRPr="00710EFF">
              <w:rPr>
                <w:b/>
                <w:sz w:val="20"/>
                <w:szCs w:val="20"/>
              </w:rPr>
              <w:t>Standards</w:t>
            </w:r>
          </w:p>
          <w:p w14:paraId="28F3F281" w14:textId="19FABD46" w:rsidR="006835E0" w:rsidRPr="00710EFF" w:rsidRDefault="006835E0" w:rsidP="006835E0">
            <w:pPr>
              <w:jc w:val="center"/>
              <w:rPr>
                <w:b/>
                <w:sz w:val="20"/>
                <w:szCs w:val="20"/>
              </w:rPr>
            </w:pPr>
            <w:r w:rsidRPr="00710EFF">
              <w:rPr>
                <w:b/>
                <w:sz w:val="20"/>
                <w:szCs w:val="20"/>
              </w:rPr>
              <w:t>(Possible Enrichment /Exposure)</w:t>
            </w:r>
          </w:p>
        </w:tc>
      </w:tr>
      <w:tr w:rsidR="006B627E" w14:paraId="2BC1B2A0" w14:textId="77777777" w:rsidTr="00710EFF">
        <w:tc>
          <w:tcPr>
            <w:tcW w:w="715" w:type="dxa"/>
          </w:tcPr>
          <w:p w14:paraId="78F97043" w14:textId="77777777" w:rsidR="006835E0" w:rsidRDefault="006835E0" w:rsidP="006835E0"/>
        </w:tc>
        <w:tc>
          <w:tcPr>
            <w:tcW w:w="1950" w:type="dxa"/>
          </w:tcPr>
          <w:p w14:paraId="072279A4" w14:textId="42F62BC1" w:rsidR="006835E0" w:rsidRPr="00710EFF" w:rsidRDefault="006835E0" w:rsidP="006835E0">
            <w:pPr>
              <w:rPr>
                <w:sz w:val="20"/>
                <w:szCs w:val="20"/>
              </w:rPr>
            </w:pPr>
            <w:r w:rsidRPr="00710EFF">
              <w:rPr>
                <w:sz w:val="20"/>
                <w:szCs w:val="20"/>
              </w:rPr>
              <w:t>What is the essential learning? Describe in student friendly vocabulary.</w:t>
            </w:r>
          </w:p>
        </w:tc>
        <w:tc>
          <w:tcPr>
            <w:tcW w:w="2130" w:type="dxa"/>
          </w:tcPr>
          <w:p w14:paraId="50A14857" w14:textId="77777777" w:rsidR="006835E0" w:rsidRPr="00710EFF" w:rsidRDefault="006835E0" w:rsidP="006835E0">
            <w:pPr>
              <w:rPr>
                <w:sz w:val="20"/>
                <w:szCs w:val="20"/>
              </w:rPr>
            </w:pPr>
            <w:r w:rsidRPr="00710EFF">
              <w:rPr>
                <w:sz w:val="20"/>
                <w:szCs w:val="20"/>
              </w:rPr>
              <w:t>What does proficient student work look like? Provide an example and/or description.</w:t>
            </w:r>
          </w:p>
        </w:tc>
        <w:tc>
          <w:tcPr>
            <w:tcW w:w="2130" w:type="dxa"/>
          </w:tcPr>
          <w:p w14:paraId="5661218C" w14:textId="77777777" w:rsidR="006835E0" w:rsidRPr="00710EFF" w:rsidRDefault="006835E0" w:rsidP="006835E0">
            <w:pPr>
              <w:rPr>
                <w:sz w:val="20"/>
                <w:szCs w:val="20"/>
              </w:rPr>
            </w:pPr>
            <w:r w:rsidRPr="00710EFF">
              <w:rPr>
                <w:sz w:val="20"/>
                <w:szCs w:val="20"/>
              </w:rPr>
              <w:t xml:space="preserve">What prior knowledge, skills, and/or vocabulary are needed for a student to master this standard? </w:t>
            </w:r>
          </w:p>
        </w:tc>
        <w:tc>
          <w:tcPr>
            <w:tcW w:w="1890" w:type="dxa"/>
          </w:tcPr>
          <w:p w14:paraId="6750DFEF" w14:textId="77777777" w:rsidR="006835E0" w:rsidRPr="00710EFF" w:rsidRDefault="006835E0" w:rsidP="006835E0">
            <w:pPr>
              <w:rPr>
                <w:sz w:val="20"/>
                <w:szCs w:val="20"/>
              </w:rPr>
            </w:pPr>
            <w:r w:rsidRPr="00710EFF">
              <w:rPr>
                <w:sz w:val="20"/>
                <w:szCs w:val="20"/>
              </w:rPr>
              <w:t xml:space="preserve">When will this lesson/unit be taught? </w:t>
            </w:r>
          </w:p>
        </w:tc>
        <w:tc>
          <w:tcPr>
            <w:tcW w:w="2520" w:type="dxa"/>
          </w:tcPr>
          <w:p w14:paraId="24ABB921" w14:textId="6707609F" w:rsidR="006835E0" w:rsidRPr="00710EFF" w:rsidRDefault="006835E0" w:rsidP="006835E0">
            <w:pPr>
              <w:rPr>
                <w:sz w:val="20"/>
                <w:szCs w:val="20"/>
              </w:rPr>
            </w:pPr>
            <w:r w:rsidRPr="00710EFF">
              <w:rPr>
                <w:sz w:val="20"/>
                <w:szCs w:val="20"/>
              </w:rPr>
              <w:t>What checks for understanding, formative/summative assessments will be used to measure student mastery?</w:t>
            </w:r>
          </w:p>
        </w:tc>
        <w:tc>
          <w:tcPr>
            <w:tcW w:w="2340" w:type="dxa"/>
          </w:tcPr>
          <w:p w14:paraId="6AE9F0A4" w14:textId="68D7D642" w:rsidR="006835E0" w:rsidRPr="00710EFF" w:rsidRDefault="006835E0" w:rsidP="006835E0">
            <w:pPr>
              <w:rPr>
                <w:sz w:val="20"/>
                <w:szCs w:val="20"/>
              </w:rPr>
            </w:pPr>
            <w:r w:rsidRPr="00710EFF">
              <w:rPr>
                <w:sz w:val="20"/>
                <w:szCs w:val="20"/>
              </w:rPr>
              <w:t xml:space="preserve">What will we do when students have already mastered the learning? </w:t>
            </w:r>
          </w:p>
        </w:tc>
      </w:tr>
      <w:tr w:rsidR="006B627E" w14:paraId="169DE5B6" w14:textId="77777777" w:rsidTr="000E44AD">
        <w:trPr>
          <w:trHeight w:val="1657"/>
        </w:trPr>
        <w:tc>
          <w:tcPr>
            <w:tcW w:w="715" w:type="dxa"/>
          </w:tcPr>
          <w:p w14:paraId="12C16A05" w14:textId="77777777" w:rsidR="006835E0" w:rsidRDefault="006835E0" w:rsidP="006835E0"/>
        </w:tc>
        <w:tc>
          <w:tcPr>
            <w:tcW w:w="1950" w:type="dxa"/>
          </w:tcPr>
          <w:p w14:paraId="4F3CEA53" w14:textId="77777777" w:rsidR="006835E0" w:rsidRPr="00710EFF" w:rsidRDefault="006835E0" w:rsidP="006835E0">
            <w:pPr>
              <w:rPr>
                <w:sz w:val="20"/>
                <w:szCs w:val="20"/>
              </w:rPr>
            </w:pPr>
          </w:p>
        </w:tc>
        <w:tc>
          <w:tcPr>
            <w:tcW w:w="2130" w:type="dxa"/>
          </w:tcPr>
          <w:p w14:paraId="6EF64937" w14:textId="77777777" w:rsidR="006835E0" w:rsidRPr="00710EFF" w:rsidRDefault="006835E0" w:rsidP="006835E0">
            <w:pPr>
              <w:rPr>
                <w:sz w:val="20"/>
                <w:szCs w:val="20"/>
              </w:rPr>
            </w:pPr>
          </w:p>
        </w:tc>
        <w:tc>
          <w:tcPr>
            <w:tcW w:w="2130" w:type="dxa"/>
          </w:tcPr>
          <w:p w14:paraId="7963C5BA" w14:textId="77777777" w:rsidR="006835E0" w:rsidRPr="00710EFF" w:rsidRDefault="006835E0" w:rsidP="006835E0">
            <w:pPr>
              <w:rPr>
                <w:sz w:val="20"/>
                <w:szCs w:val="20"/>
              </w:rPr>
            </w:pPr>
          </w:p>
        </w:tc>
        <w:tc>
          <w:tcPr>
            <w:tcW w:w="1890" w:type="dxa"/>
          </w:tcPr>
          <w:p w14:paraId="03A56F6E" w14:textId="77777777" w:rsidR="006835E0" w:rsidRPr="00710EFF" w:rsidRDefault="006835E0" w:rsidP="006835E0">
            <w:pPr>
              <w:rPr>
                <w:sz w:val="20"/>
                <w:szCs w:val="20"/>
              </w:rPr>
            </w:pPr>
          </w:p>
        </w:tc>
        <w:tc>
          <w:tcPr>
            <w:tcW w:w="2520" w:type="dxa"/>
          </w:tcPr>
          <w:p w14:paraId="7CB07000" w14:textId="77777777" w:rsidR="006835E0" w:rsidRPr="00710EFF" w:rsidRDefault="006835E0" w:rsidP="006835E0">
            <w:pPr>
              <w:rPr>
                <w:sz w:val="20"/>
                <w:szCs w:val="20"/>
              </w:rPr>
            </w:pPr>
          </w:p>
        </w:tc>
        <w:tc>
          <w:tcPr>
            <w:tcW w:w="2340" w:type="dxa"/>
          </w:tcPr>
          <w:p w14:paraId="17C5B42D" w14:textId="77777777" w:rsidR="006835E0" w:rsidRPr="00710EFF" w:rsidRDefault="006835E0" w:rsidP="006835E0">
            <w:pPr>
              <w:rPr>
                <w:sz w:val="20"/>
                <w:szCs w:val="20"/>
              </w:rPr>
            </w:pPr>
          </w:p>
        </w:tc>
      </w:tr>
      <w:tr w:rsidR="006B627E" w14:paraId="7A2A9680" w14:textId="77777777" w:rsidTr="000E44AD">
        <w:trPr>
          <w:trHeight w:val="1657"/>
        </w:trPr>
        <w:tc>
          <w:tcPr>
            <w:tcW w:w="715" w:type="dxa"/>
          </w:tcPr>
          <w:p w14:paraId="0B335883" w14:textId="77777777" w:rsidR="006835E0" w:rsidRDefault="006835E0" w:rsidP="006835E0"/>
        </w:tc>
        <w:tc>
          <w:tcPr>
            <w:tcW w:w="1950" w:type="dxa"/>
          </w:tcPr>
          <w:p w14:paraId="139B4596" w14:textId="77777777" w:rsidR="006835E0" w:rsidRDefault="006835E0" w:rsidP="006835E0"/>
        </w:tc>
        <w:tc>
          <w:tcPr>
            <w:tcW w:w="2130" w:type="dxa"/>
          </w:tcPr>
          <w:p w14:paraId="46C95A78" w14:textId="77777777" w:rsidR="006835E0" w:rsidRDefault="006835E0" w:rsidP="006835E0"/>
        </w:tc>
        <w:tc>
          <w:tcPr>
            <w:tcW w:w="2130" w:type="dxa"/>
          </w:tcPr>
          <w:p w14:paraId="35A07DCE" w14:textId="77777777" w:rsidR="006835E0" w:rsidRDefault="006835E0" w:rsidP="006835E0"/>
        </w:tc>
        <w:tc>
          <w:tcPr>
            <w:tcW w:w="1890" w:type="dxa"/>
          </w:tcPr>
          <w:p w14:paraId="69071FA6" w14:textId="77777777" w:rsidR="006835E0" w:rsidRDefault="006835E0" w:rsidP="006835E0"/>
        </w:tc>
        <w:tc>
          <w:tcPr>
            <w:tcW w:w="2520" w:type="dxa"/>
          </w:tcPr>
          <w:p w14:paraId="51561F03" w14:textId="77777777" w:rsidR="006835E0" w:rsidRDefault="006835E0" w:rsidP="006835E0"/>
        </w:tc>
        <w:tc>
          <w:tcPr>
            <w:tcW w:w="2340" w:type="dxa"/>
          </w:tcPr>
          <w:p w14:paraId="6FF08BA8" w14:textId="77777777" w:rsidR="006835E0" w:rsidRDefault="006835E0" w:rsidP="006835E0"/>
        </w:tc>
      </w:tr>
      <w:tr w:rsidR="006B627E" w14:paraId="6B9A22B7" w14:textId="77777777" w:rsidTr="000E44AD">
        <w:trPr>
          <w:trHeight w:val="1657"/>
        </w:trPr>
        <w:tc>
          <w:tcPr>
            <w:tcW w:w="715" w:type="dxa"/>
          </w:tcPr>
          <w:p w14:paraId="20D652C5" w14:textId="77777777" w:rsidR="006835E0" w:rsidRDefault="006835E0" w:rsidP="006835E0"/>
        </w:tc>
        <w:tc>
          <w:tcPr>
            <w:tcW w:w="1950" w:type="dxa"/>
          </w:tcPr>
          <w:p w14:paraId="2036D542" w14:textId="77777777" w:rsidR="006835E0" w:rsidRDefault="006835E0" w:rsidP="006835E0"/>
        </w:tc>
        <w:tc>
          <w:tcPr>
            <w:tcW w:w="2130" w:type="dxa"/>
          </w:tcPr>
          <w:p w14:paraId="72A00796" w14:textId="77777777" w:rsidR="006835E0" w:rsidRDefault="006835E0" w:rsidP="006835E0"/>
        </w:tc>
        <w:tc>
          <w:tcPr>
            <w:tcW w:w="2130" w:type="dxa"/>
          </w:tcPr>
          <w:p w14:paraId="004FF1B1" w14:textId="77777777" w:rsidR="006835E0" w:rsidRDefault="006835E0" w:rsidP="006835E0"/>
        </w:tc>
        <w:tc>
          <w:tcPr>
            <w:tcW w:w="1890" w:type="dxa"/>
          </w:tcPr>
          <w:p w14:paraId="15F7D1DE" w14:textId="77777777" w:rsidR="006835E0" w:rsidRDefault="006835E0" w:rsidP="006835E0"/>
        </w:tc>
        <w:tc>
          <w:tcPr>
            <w:tcW w:w="2520" w:type="dxa"/>
          </w:tcPr>
          <w:p w14:paraId="5F3AFED3" w14:textId="77777777" w:rsidR="006835E0" w:rsidRDefault="006835E0" w:rsidP="006835E0"/>
        </w:tc>
        <w:tc>
          <w:tcPr>
            <w:tcW w:w="2340" w:type="dxa"/>
          </w:tcPr>
          <w:p w14:paraId="754ED04D" w14:textId="77777777" w:rsidR="006835E0" w:rsidRDefault="006835E0" w:rsidP="006835E0"/>
        </w:tc>
      </w:tr>
      <w:tr w:rsidR="006B627E" w14:paraId="5125ABD7" w14:textId="77777777" w:rsidTr="00710EFF">
        <w:trPr>
          <w:cantSplit/>
          <w:trHeight w:val="1502"/>
        </w:trPr>
        <w:tc>
          <w:tcPr>
            <w:tcW w:w="715" w:type="dxa"/>
            <w:textDirection w:val="btLr"/>
          </w:tcPr>
          <w:p w14:paraId="6EC56D80" w14:textId="5D5B7054" w:rsidR="006835E0" w:rsidRPr="009B0CA0" w:rsidRDefault="006835E0" w:rsidP="006835E0">
            <w:pPr>
              <w:ind w:left="113" w:right="113"/>
              <w:jc w:val="center"/>
              <w:rPr>
                <w:b/>
                <w:i/>
                <w:color w:val="808080" w:themeColor="background1" w:themeShade="80"/>
              </w:rPr>
            </w:pPr>
            <w:r w:rsidRPr="009B0CA0">
              <w:rPr>
                <w:b/>
                <w:i/>
                <w:color w:val="808080" w:themeColor="background1" w:themeShade="80"/>
              </w:rPr>
              <w:t>SLO Connection</w:t>
            </w:r>
          </w:p>
        </w:tc>
        <w:tc>
          <w:tcPr>
            <w:tcW w:w="1950" w:type="dxa"/>
          </w:tcPr>
          <w:p w14:paraId="76C9D2AC" w14:textId="6D7644AC" w:rsidR="006835E0" w:rsidRPr="009B0CA0" w:rsidRDefault="006835E0" w:rsidP="006B627E">
            <w:pPr>
              <w:rPr>
                <w:color w:val="808080" w:themeColor="background1" w:themeShade="80"/>
                <w:sz w:val="20"/>
                <w:szCs w:val="20"/>
              </w:rPr>
            </w:pPr>
            <w:r w:rsidRPr="009B0CA0">
              <w:rPr>
                <w:color w:val="808080" w:themeColor="background1" w:themeShade="80"/>
                <w:sz w:val="20"/>
                <w:szCs w:val="20"/>
              </w:rPr>
              <w:t xml:space="preserve">This is the thinking behind the selection of </w:t>
            </w:r>
            <w:r w:rsidRPr="009B0CA0">
              <w:rPr>
                <w:b/>
                <w:color w:val="808080" w:themeColor="background1" w:themeShade="80"/>
              </w:rPr>
              <w:t>Learning Content</w:t>
            </w:r>
            <w:r w:rsidRPr="009B0CA0">
              <w:rPr>
                <w:b/>
                <w:color w:val="808080" w:themeColor="background1" w:themeShade="80"/>
                <w:sz w:val="20"/>
                <w:szCs w:val="20"/>
              </w:rPr>
              <w:t xml:space="preserve"> </w:t>
            </w:r>
            <w:r w:rsidRPr="009B0CA0">
              <w:rPr>
                <w:color w:val="808080" w:themeColor="background1" w:themeShade="80"/>
                <w:sz w:val="20"/>
                <w:szCs w:val="20"/>
              </w:rPr>
              <w:t xml:space="preserve">as well as the coherence and pivotal rationale. </w:t>
            </w:r>
          </w:p>
        </w:tc>
        <w:tc>
          <w:tcPr>
            <w:tcW w:w="2130" w:type="dxa"/>
          </w:tcPr>
          <w:p w14:paraId="13C18F40" w14:textId="433BF016" w:rsidR="006835E0" w:rsidRPr="009B0CA0" w:rsidRDefault="006835E0" w:rsidP="006B627E">
            <w:pPr>
              <w:rPr>
                <w:b/>
                <w:color w:val="808080" w:themeColor="background1" w:themeShade="80"/>
              </w:rPr>
            </w:pPr>
            <w:r w:rsidRPr="009B0CA0">
              <w:rPr>
                <w:color w:val="808080" w:themeColor="background1" w:themeShade="80"/>
                <w:sz w:val="20"/>
                <w:szCs w:val="20"/>
              </w:rPr>
              <w:t xml:space="preserve">Defining student mastery is the foundation of every quality </w:t>
            </w:r>
            <w:r w:rsidRPr="009B0CA0">
              <w:rPr>
                <w:b/>
                <w:color w:val="808080" w:themeColor="background1" w:themeShade="80"/>
              </w:rPr>
              <w:t>Assessment.</w:t>
            </w:r>
          </w:p>
          <w:p w14:paraId="37A3FA22" w14:textId="6E9C309D" w:rsidR="006835E0" w:rsidRPr="009B0CA0" w:rsidRDefault="006835E0" w:rsidP="006B627E">
            <w:pPr>
              <w:rPr>
                <w:color w:val="808080" w:themeColor="background1" w:themeShade="80"/>
                <w:sz w:val="20"/>
                <w:szCs w:val="20"/>
              </w:rPr>
            </w:pPr>
          </w:p>
        </w:tc>
        <w:tc>
          <w:tcPr>
            <w:tcW w:w="2130" w:type="dxa"/>
          </w:tcPr>
          <w:p w14:paraId="428B5683" w14:textId="47C96A1F" w:rsidR="006835E0" w:rsidRPr="009B0CA0" w:rsidRDefault="006835E0" w:rsidP="006B627E">
            <w:pPr>
              <w:rPr>
                <w:b/>
                <w:color w:val="808080" w:themeColor="background1" w:themeShade="80"/>
                <w:sz w:val="20"/>
                <w:szCs w:val="20"/>
              </w:rPr>
            </w:pPr>
            <w:r w:rsidRPr="009B0CA0">
              <w:rPr>
                <w:color w:val="808080" w:themeColor="background1" w:themeShade="80"/>
                <w:sz w:val="20"/>
                <w:szCs w:val="20"/>
              </w:rPr>
              <w:t>This is the thinking behind what the</w:t>
            </w:r>
            <w:r w:rsidRPr="009B0CA0">
              <w:rPr>
                <w:b/>
                <w:color w:val="808080" w:themeColor="background1" w:themeShade="80"/>
                <w:sz w:val="20"/>
                <w:szCs w:val="20"/>
              </w:rPr>
              <w:t xml:space="preserve"> </w:t>
            </w:r>
            <w:r w:rsidRPr="009B0CA0">
              <w:rPr>
                <w:b/>
                <w:color w:val="808080" w:themeColor="background1" w:themeShade="80"/>
              </w:rPr>
              <w:t>Student Population</w:t>
            </w:r>
          </w:p>
          <w:p w14:paraId="28BFC8B0" w14:textId="024F3FA2" w:rsidR="006835E0" w:rsidRPr="009B0CA0" w:rsidRDefault="009D790B" w:rsidP="006519DD">
            <w:pPr>
              <w:rPr>
                <w:color w:val="808080" w:themeColor="background1" w:themeShade="80"/>
                <w:sz w:val="20"/>
                <w:szCs w:val="20"/>
              </w:rPr>
            </w:pPr>
            <w:r w:rsidRPr="009B0CA0">
              <w:rPr>
                <w:color w:val="808080" w:themeColor="background1" w:themeShade="80"/>
                <w:sz w:val="20"/>
                <w:szCs w:val="20"/>
              </w:rPr>
              <w:t xml:space="preserve">currently </w:t>
            </w:r>
            <w:r w:rsidR="006835E0" w:rsidRPr="009B0CA0">
              <w:rPr>
                <w:color w:val="808080" w:themeColor="background1" w:themeShade="80"/>
                <w:sz w:val="20"/>
                <w:szCs w:val="20"/>
              </w:rPr>
              <w:t>knows and what they still need to learn.</w:t>
            </w:r>
          </w:p>
        </w:tc>
        <w:tc>
          <w:tcPr>
            <w:tcW w:w="1890" w:type="dxa"/>
          </w:tcPr>
          <w:p w14:paraId="6082D5B6" w14:textId="59A8370A" w:rsidR="006835E0" w:rsidRPr="009B0CA0" w:rsidRDefault="009D790B" w:rsidP="006B627E">
            <w:pPr>
              <w:rPr>
                <w:color w:val="808080" w:themeColor="background1" w:themeShade="80"/>
                <w:sz w:val="20"/>
                <w:szCs w:val="20"/>
              </w:rPr>
            </w:pPr>
            <w:r w:rsidRPr="009B0CA0">
              <w:rPr>
                <w:color w:val="808080" w:themeColor="background1" w:themeShade="80"/>
                <w:sz w:val="20"/>
                <w:szCs w:val="20"/>
              </w:rPr>
              <w:t xml:space="preserve">This is your </w:t>
            </w:r>
            <w:r w:rsidRPr="009B0CA0">
              <w:rPr>
                <w:b/>
                <w:color w:val="808080" w:themeColor="background1" w:themeShade="80"/>
              </w:rPr>
              <w:t>Interval of Instruction</w:t>
            </w:r>
            <w:r w:rsidRPr="009B0CA0">
              <w:rPr>
                <w:color w:val="808080" w:themeColor="background1" w:themeShade="80"/>
                <w:sz w:val="20"/>
                <w:szCs w:val="20"/>
              </w:rPr>
              <w:t>.</w:t>
            </w:r>
          </w:p>
        </w:tc>
        <w:tc>
          <w:tcPr>
            <w:tcW w:w="2520" w:type="dxa"/>
          </w:tcPr>
          <w:p w14:paraId="7E916C96" w14:textId="76469E4F" w:rsidR="006835E0" w:rsidRPr="009B0CA0" w:rsidRDefault="006835E0" w:rsidP="006B627E">
            <w:pPr>
              <w:rPr>
                <w:b/>
                <w:color w:val="808080" w:themeColor="background1" w:themeShade="80"/>
              </w:rPr>
            </w:pPr>
            <w:r w:rsidRPr="009B0CA0">
              <w:rPr>
                <w:b/>
                <w:color w:val="808080" w:themeColor="background1" w:themeShade="80"/>
              </w:rPr>
              <w:t>Instructional Strategies</w:t>
            </w:r>
          </w:p>
          <w:p w14:paraId="164D95CA" w14:textId="4D47F224" w:rsidR="006835E0" w:rsidRPr="009B0CA0" w:rsidRDefault="0033791C" w:rsidP="0033791C">
            <w:pPr>
              <w:rPr>
                <w:color w:val="808080" w:themeColor="background1" w:themeShade="80"/>
                <w:sz w:val="20"/>
                <w:szCs w:val="20"/>
              </w:rPr>
            </w:pPr>
            <w:r w:rsidRPr="009B0CA0">
              <w:rPr>
                <w:color w:val="808080" w:themeColor="background1" w:themeShade="80"/>
                <w:sz w:val="20"/>
                <w:szCs w:val="20"/>
              </w:rPr>
              <w:t>represent</w:t>
            </w:r>
            <w:r w:rsidR="009D790B" w:rsidRPr="009B0CA0">
              <w:rPr>
                <w:color w:val="808080" w:themeColor="background1" w:themeShade="80"/>
                <w:sz w:val="20"/>
                <w:szCs w:val="20"/>
              </w:rPr>
              <w:t xml:space="preserve"> b</w:t>
            </w:r>
            <w:r w:rsidR="006835E0" w:rsidRPr="009B0CA0">
              <w:rPr>
                <w:color w:val="808080" w:themeColor="background1" w:themeShade="80"/>
                <w:sz w:val="20"/>
                <w:szCs w:val="20"/>
              </w:rPr>
              <w:t xml:space="preserve">est practices for </w:t>
            </w:r>
            <w:r w:rsidR="009D790B" w:rsidRPr="009B0CA0">
              <w:rPr>
                <w:color w:val="808080" w:themeColor="background1" w:themeShade="80"/>
                <w:sz w:val="20"/>
                <w:szCs w:val="20"/>
              </w:rPr>
              <w:t xml:space="preserve">understanding the content and student progress data is reflected upon in the </w:t>
            </w:r>
            <w:r w:rsidR="009D790B" w:rsidRPr="009B0CA0">
              <w:rPr>
                <w:b/>
                <w:color w:val="808080" w:themeColor="background1" w:themeShade="80"/>
              </w:rPr>
              <w:t>Implementation Phase</w:t>
            </w:r>
            <w:r w:rsidR="009D790B" w:rsidRPr="009B0CA0">
              <w:rPr>
                <w:b/>
                <w:color w:val="808080" w:themeColor="background1" w:themeShade="80"/>
                <w:sz w:val="20"/>
                <w:szCs w:val="20"/>
              </w:rPr>
              <w:t>.</w:t>
            </w:r>
          </w:p>
        </w:tc>
        <w:tc>
          <w:tcPr>
            <w:tcW w:w="2340" w:type="dxa"/>
          </w:tcPr>
          <w:p w14:paraId="397824B9" w14:textId="0DBE349A" w:rsidR="006835E0" w:rsidRPr="009B0CA0" w:rsidRDefault="00422977" w:rsidP="006B627E">
            <w:pPr>
              <w:rPr>
                <w:color w:val="808080" w:themeColor="background1" w:themeShade="80"/>
                <w:sz w:val="20"/>
                <w:szCs w:val="20"/>
              </w:rPr>
            </w:pPr>
            <w:r w:rsidRPr="009B0CA0">
              <w:rPr>
                <w:color w:val="808080" w:themeColor="background1" w:themeShade="80"/>
                <w:sz w:val="20"/>
                <w:szCs w:val="20"/>
              </w:rPr>
              <w:t xml:space="preserve">We plan for </w:t>
            </w:r>
            <w:r w:rsidR="006B627E" w:rsidRPr="009B0CA0">
              <w:rPr>
                <w:color w:val="808080" w:themeColor="background1" w:themeShade="80"/>
                <w:sz w:val="20"/>
                <w:szCs w:val="20"/>
              </w:rPr>
              <w:t xml:space="preserve">differentiation </w:t>
            </w:r>
            <w:r w:rsidR="0033791C" w:rsidRPr="009B0CA0">
              <w:rPr>
                <w:color w:val="808080" w:themeColor="background1" w:themeShade="80"/>
                <w:sz w:val="20"/>
                <w:szCs w:val="20"/>
              </w:rPr>
              <w:t xml:space="preserve">in </w:t>
            </w:r>
            <w:r w:rsidR="0033791C" w:rsidRPr="009B0CA0">
              <w:rPr>
                <w:b/>
                <w:color w:val="808080" w:themeColor="background1" w:themeShade="80"/>
                <w:sz w:val="20"/>
                <w:szCs w:val="20"/>
              </w:rPr>
              <w:t>Instructional</w:t>
            </w:r>
            <w:r w:rsidR="006835E0" w:rsidRPr="009B0CA0">
              <w:rPr>
                <w:b/>
                <w:color w:val="808080" w:themeColor="background1" w:themeShade="80"/>
              </w:rPr>
              <w:t xml:space="preserve"> Strategies</w:t>
            </w:r>
            <w:r w:rsidR="006B627E" w:rsidRPr="009B0CA0">
              <w:rPr>
                <w:b/>
                <w:color w:val="808080" w:themeColor="background1" w:themeShade="80"/>
                <w:sz w:val="20"/>
                <w:szCs w:val="20"/>
              </w:rPr>
              <w:t xml:space="preserve"> </w:t>
            </w:r>
            <w:r w:rsidR="006B627E" w:rsidRPr="009B0CA0">
              <w:rPr>
                <w:color w:val="808080" w:themeColor="background1" w:themeShade="80"/>
                <w:sz w:val="20"/>
                <w:szCs w:val="20"/>
              </w:rPr>
              <w:t xml:space="preserve">and reflect upon evidence of student learning throughout the </w:t>
            </w:r>
            <w:r w:rsidR="006B627E" w:rsidRPr="009B0CA0">
              <w:rPr>
                <w:color w:val="808080" w:themeColor="background1" w:themeShade="80"/>
              </w:rPr>
              <w:t>I</w:t>
            </w:r>
            <w:r w:rsidR="006B627E" w:rsidRPr="009B0CA0">
              <w:rPr>
                <w:b/>
                <w:color w:val="808080" w:themeColor="background1" w:themeShade="80"/>
              </w:rPr>
              <w:t>nterval</w:t>
            </w:r>
            <w:r w:rsidR="006B627E" w:rsidRPr="009B0CA0">
              <w:rPr>
                <w:color w:val="808080" w:themeColor="background1" w:themeShade="80"/>
                <w:sz w:val="20"/>
                <w:szCs w:val="20"/>
              </w:rPr>
              <w:t>.</w:t>
            </w:r>
          </w:p>
        </w:tc>
      </w:tr>
    </w:tbl>
    <w:p w14:paraId="4F439019" w14:textId="77777777" w:rsidR="00710EFF" w:rsidRDefault="00710EFF" w:rsidP="00872FF3">
      <w:pPr>
        <w:jc w:val="center"/>
        <w:rPr>
          <w:sz w:val="32"/>
          <w:szCs w:val="32"/>
        </w:rPr>
      </w:pPr>
    </w:p>
    <w:p w14:paraId="723CE84A" w14:textId="77777777" w:rsidR="000E44AD" w:rsidRDefault="000E44AD" w:rsidP="000E44AD">
      <w:pPr>
        <w:jc w:val="center"/>
        <w:rPr>
          <w:sz w:val="32"/>
          <w:szCs w:val="32"/>
        </w:rPr>
      </w:pPr>
      <w:r>
        <w:rPr>
          <w:sz w:val="32"/>
          <w:szCs w:val="32"/>
        </w:rPr>
        <w:t>Protocol for completing the MTSS Unit Standards Chart</w:t>
      </w:r>
    </w:p>
    <w:p w14:paraId="25A8647B" w14:textId="7AE1F60D" w:rsidR="000E44AD" w:rsidRPr="009D1CEE" w:rsidRDefault="000E44AD" w:rsidP="000E44AD">
      <w:pPr>
        <w:jc w:val="center"/>
      </w:pPr>
      <w:r w:rsidRPr="009D1CEE">
        <w:t xml:space="preserve">Adapted from </w:t>
      </w:r>
      <w:r w:rsidRPr="009D1CEE">
        <w:rPr>
          <w:i/>
        </w:rPr>
        <w:t>Simplifying Response to Intervention – Four Essential Guiding Principles</w:t>
      </w:r>
      <w:r w:rsidR="007F2025">
        <w:t xml:space="preserve"> (Buffum</w:t>
      </w:r>
      <w:bookmarkStart w:id="0" w:name="_GoBack"/>
      <w:bookmarkEnd w:id="0"/>
      <w:r w:rsidRPr="009D1CEE">
        <w:t>, Mattos, &amp; Weber, 2012)</w:t>
      </w:r>
    </w:p>
    <w:p w14:paraId="4823976D" w14:textId="77777777" w:rsidR="000E44AD" w:rsidRPr="009D1CEE" w:rsidRDefault="000E44AD" w:rsidP="000E44AD">
      <w:pPr>
        <w:jc w:val="center"/>
      </w:pPr>
      <w:r w:rsidRPr="009D1CEE">
        <w:t xml:space="preserve">Steps 1 – 4 should be completed concurrently, as they are mutually supporting processes, before instruction occurs.  </w:t>
      </w:r>
    </w:p>
    <w:p w14:paraId="18751B26" w14:textId="77777777" w:rsidR="000E44AD" w:rsidRPr="009D1CEE" w:rsidRDefault="000E44AD" w:rsidP="000E44AD">
      <w:pPr>
        <w:ind w:left="2160" w:firstLine="720"/>
      </w:pPr>
      <w:r w:rsidRPr="009D1CEE">
        <w:t>Steps 5 – 7 should be completed during the unit of instruction.</w:t>
      </w:r>
    </w:p>
    <w:p w14:paraId="5F9F3F85" w14:textId="77777777" w:rsidR="000E44AD" w:rsidRPr="009D1CEE" w:rsidRDefault="000E44AD" w:rsidP="000E44AD">
      <w:pPr>
        <w:pStyle w:val="ListParagraph"/>
        <w:numPr>
          <w:ilvl w:val="0"/>
          <w:numId w:val="3"/>
        </w:numPr>
      </w:pPr>
      <w:r w:rsidRPr="009D1CEE">
        <w:rPr>
          <w:b/>
        </w:rPr>
        <w:t>Description of Standard</w:t>
      </w:r>
      <w:r w:rsidRPr="009D1CEE">
        <w:t xml:space="preserve">: Teams discuss the standard and together reword it into teacher-friendly and student-friendly language that helps to clarify what the standard actually means.  Listing the standard number and the language of the standard itself does not ensure that individuals are interpreting the standard in a similar fashion.  </w:t>
      </w:r>
    </w:p>
    <w:p w14:paraId="7B54AC6D" w14:textId="77777777" w:rsidR="000E44AD" w:rsidRPr="009D1CEE" w:rsidRDefault="000E44AD" w:rsidP="000E44AD">
      <w:pPr>
        <w:pStyle w:val="ListParagraph"/>
        <w:numPr>
          <w:ilvl w:val="0"/>
          <w:numId w:val="3"/>
        </w:numPr>
      </w:pPr>
      <w:r w:rsidRPr="009D1CEE">
        <w:rPr>
          <w:b/>
        </w:rPr>
        <w:t>Example of Rigor</w:t>
      </w:r>
      <w:r w:rsidRPr="009D1CEE">
        <w:t xml:space="preserve">: Teams grapple with what level of rigor would represent proficiency on the standard: even if teachers have discussed and clarified what the standard actually means, this does not ensure that each teacher will expect the same level of rigor.  Teams ensure agreement on what students will be able to do as a result of mastering the standard.  Once this proficiency has been clarified, the team should discuss what the performance criteria looks like for exceeding, approaching and emerging proficiency with regards to the standards.  (When looking at student work, what do you expect to see from students at these different levels?) </w:t>
      </w:r>
    </w:p>
    <w:p w14:paraId="7A67CD00" w14:textId="77777777" w:rsidR="000E44AD" w:rsidRPr="009D1CEE" w:rsidRDefault="000E44AD" w:rsidP="000E44AD">
      <w:pPr>
        <w:pStyle w:val="ListParagraph"/>
        <w:numPr>
          <w:ilvl w:val="0"/>
          <w:numId w:val="3"/>
        </w:numPr>
      </w:pPr>
      <w:r w:rsidRPr="009D1CEE">
        <w:rPr>
          <w:b/>
        </w:rPr>
        <w:t xml:space="preserve">Identify Prerequisite Skills: </w:t>
      </w:r>
      <w:r w:rsidRPr="009D1CEE">
        <w:t xml:space="preserve">Teams determine what prior knowledge and skills are necessary for students to learn the standards at the level they have defined as proficient.  A baseline assessment(s) should be given before each unit of instruction to identify students lacking the prerequisite skills identified and should result in immediate intervention.  This assessment(s) also allows teams to identify those students who will need enrichment because they have already demonstrated proficiency with these standards.  </w:t>
      </w:r>
    </w:p>
    <w:p w14:paraId="7B307F7E" w14:textId="77777777" w:rsidR="000E44AD" w:rsidRPr="009D1CEE" w:rsidRDefault="000E44AD" w:rsidP="000E44AD">
      <w:pPr>
        <w:pStyle w:val="ListParagraph"/>
        <w:numPr>
          <w:ilvl w:val="0"/>
          <w:numId w:val="3"/>
        </w:numPr>
      </w:pPr>
      <w:r w:rsidRPr="009D1CEE">
        <w:rPr>
          <w:b/>
        </w:rPr>
        <w:t xml:space="preserve">Common Baseline and Summative Assessments: </w:t>
      </w:r>
      <w:r w:rsidRPr="009D1CEE">
        <w:t>Teams build baseline and summative assessments by identifying three to four questions or tasks for each of the standards identified.  The questions/tasks should vary in cognitive demand to allow students to show depth of understanding.</w:t>
      </w:r>
    </w:p>
    <w:p w14:paraId="0E9806C7" w14:textId="77777777" w:rsidR="000E44AD" w:rsidRPr="009D1CEE" w:rsidRDefault="000E44AD" w:rsidP="000E44AD">
      <w:pPr>
        <w:pStyle w:val="ListParagraph"/>
        <w:numPr>
          <w:ilvl w:val="0"/>
          <w:numId w:val="3"/>
        </w:numPr>
      </w:pPr>
      <w:r w:rsidRPr="009D1CEE">
        <w:rPr>
          <w:b/>
        </w:rPr>
        <w:t xml:space="preserve">Extension Standards and Intervention: </w:t>
      </w:r>
      <w:r w:rsidRPr="009D1CEE">
        <w:t xml:space="preserve">Teams determine how and when they will identify and support students in need of remediation and enrichment.  The </w:t>
      </w:r>
      <w:r w:rsidRPr="009D1CEE">
        <w:rPr>
          <w:i/>
        </w:rPr>
        <w:t>entire team</w:t>
      </w:r>
      <w:r w:rsidRPr="009D1CEE">
        <w:t xml:space="preserve"> should reserve time for this additional time and support, not just each individual teacher.</w:t>
      </w:r>
    </w:p>
    <w:p w14:paraId="7948B976" w14:textId="77777777" w:rsidR="000E44AD" w:rsidRPr="009D1CEE" w:rsidRDefault="000E44AD" w:rsidP="000E44AD">
      <w:pPr>
        <w:pStyle w:val="ListParagraph"/>
        <w:numPr>
          <w:ilvl w:val="0"/>
          <w:numId w:val="3"/>
        </w:numPr>
      </w:pPr>
      <w:r w:rsidRPr="009D1CEE">
        <w:rPr>
          <w:b/>
        </w:rPr>
        <w:t xml:space="preserve">Common Formative Assessments: </w:t>
      </w:r>
      <w:r w:rsidRPr="009D1CEE">
        <w:t>Teams build common formative assessments by identifying two to three questions/tasks for each of the standards/learning targets identified. This allows teams to identify students who are struggling with content and need intervention as well as students who are excelling and need enrichment.</w:t>
      </w:r>
    </w:p>
    <w:p w14:paraId="75FFD468" w14:textId="77777777" w:rsidR="000E44AD" w:rsidRPr="009D1CEE" w:rsidRDefault="000E44AD" w:rsidP="000E44AD">
      <w:pPr>
        <w:pStyle w:val="ListParagraph"/>
        <w:numPr>
          <w:ilvl w:val="0"/>
          <w:numId w:val="3"/>
        </w:numPr>
      </w:pPr>
      <w:r w:rsidRPr="009D1CEE">
        <w:rPr>
          <w:b/>
        </w:rPr>
        <w:t xml:space="preserve">Monitor and Reflection: </w:t>
      </w:r>
      <w:r w:rsidRPr="009D1CEE">
        <w:t>Teams discuss and analyze the results of the common assessments to identify and monitor students needing more time and support or students needing enrichment. Repeat Steps 6 and 7 throughout the unit.</w:t>
      </w:r>
    </w:p>
    <w:sectPr w:rsidR="000E44AD" w:rsidRPr="009D1CEE" w:rsidSect="006835E0">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B9B58" w14:textId="77777777" w:rsidR="00582639" w:rsidRDefault="00582639" w:rsidP="00FD458E">
      <w:pPr>
        <w:spacing w:after="0" w:line="240" w:lineRule="auto"/>
      </w:pPr>
      <w:r>
        <w:separator/>
      </w:r>
    </w:p>
  </w:endnote>
  <w:endnote w:type="continuationSeparator" w:id="0">
    <w:p w14:paraId="5B29174B" w14:textId="77777777" w:rsidR="00582639" w:rsidRDefault="00582639" w:rsidP="00FD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83D2B" w14:textId="77777777" w:rsidR="00D7580A" w:rsidRDefault="00D7580A" w:rsidP="00D7580A">
    <w:pPr>
      <w:pStyle w:val="Footer"/>
      <w:jc w:val="right"/>
    </w:pPr>
    <w:r>
      <w:t xml:space="preserve">MTSS/WCSD Adapted from Simplifying </w:t>
    </w:r>
    <w:proofErr w:type="spellStart"/>
    <w:r>
      <w:t>RtI</w:t>
    </w:r>
    <w:proofErr w:type="spellEnd"/>
    <w:r>
      <w:t>, Solution Tree, 2012</w:t>
    </w:r>
  </w:p>
  <w:p w14:paraId="4F2F6ED7" w14:textId="77777777" w:rsidR="00D7580A" w:rsidRDefault="00D7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6F29E" w14:textId="77777777" w:rsidR="00582639" w:rsidRDefault="00582639" w:rsidP="00FD458E">
      <w:pPr>
        <w:spacing w:after="0" w:line="240" w:lineRule="auto"/>
      </w:pPr>
      <w:r>
        <w:separator/>
      </w:r>
    </w:p>
  </w:footnote>
  <w:footnote w:type="continuationSeparator" w:id="0">
    <w:p w14:paraId="4DFDAAAA" w14:textId="77777777" w:rsidR="00582639" w:rsidRDefault="00582639" w:rsidP="00FD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264DE" w14:textId="07ABA13D" w:rsidR="006519DD" w:rsidRDefault="006519DD" w:rsidP="006519DD">
    <w:pPr>
      <w:pStyle w:val="Header"/>
      <w:jc w:val="center"/>
      <w:rPr>
        <w:sz w:val="32"/>
        <w:szCs w:val="32"/>
      </w:rPr>
    </w:pPr>
    <w:r>
      <w:rPr>
        <w:sz w:val="32"/>
        <w:szCs w:val="32"/>
      </w:rPr>
      <w:t>What Do We Want Students to Learn?</w:t>
    </w:r>
  </w:p>
  <w:p w14:paraId="5E55517D" w14:textId="77777777" w:rsidR="006519DD" w:rsidRPr="006519DD" w:rsidRDefault="006519DD" w:rsidP="006519DD">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734A1"/>
    <w:multiLevelType w:val="hybridMultilevel"/>
    <w:tmpl w:val="72407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94E8F"/>
    <w:multiLevelType w:val="hybridMultilevel"/>
    <w:tmpl w:val="FD00A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43C9F"/>
    <w:multiLevelType w:val="hybridMultilevel"/>
    <w:tmpl w:val="198C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8E"/>
    <w:rsid w:val="00084C4C"/>
    <w:rsid w:val="000E37DF"/>
    <w:rsid w:val="000E44AD"/>
    <w:rsid w:val="00111C74"/>
    <w:rsid w:val="001837DD"/>
    <w:rsid w:val="001A0C66"/>
    <w:rsid w:val="001E5A41"/>
    <w:rsid w:val="0033791C"/>
    <w:rsid w:val="0034031E"/>
    <w:rsid w:val="0034482C"/>
    <w:rsid w:val="00344D14"/>
    <w:rsid w:val="003B662B"/>
    <w:rsid w:val="003C3738"/>
    <w:rsid w:val="003E30C8"/>
    <w:rsid w:val="00414D3F"/>
    <w:rsid w:val="00417684"/>
    <w:rsid w:val="00422977"/>
    <w:rsid w:val="005415E9"/>
    <w:rsid w:val="00582639"/>
    <w:rsid w:val="00592309"/>
    <w:rsid w:val="005B405F"/>
    <w:rsid w:val="006519DD"/>
    <w:rsid w:val="0066043D"/>
    <w:rsid w:val="00665C37"/>
    <w:rsid w:val="006835E0"/>
    <w:rsid w:val="006B627E"/>
    <w:rsid w:val="00710EFF"/>
    <w:rsid w:val="007346FA"/>
    <w:rsid w:val="007F2025"/>
    <w:rsid w:val="007F28D3"/>
    <w:rsid w:val="00806FF1"/>
    <w:rsid w:val="00872FF3"/>
    <w:rsid w:val="00890725"/>
    <w:rsid w:val="008C3D52"/>
    <w:rsid w:val="008D239A"/>
    <w:rsid w:val="009B0CA0"/>
    <w:rsid w:val="009D1CEE"/>
    <w:rsid w:val="009D790B"/>
    <w:rsid w:val="00A12271"/>
    <w:rsid w:val="00A8079A"/>
    <w:rsid w:val="00AA7828"/>
    <w:rsid w:val="00AD44B4"/>
    <w:rsid w:val="00AE296B"/>
    <w:rsid w:val="00B306C2"/>
    <w:rsid w:val="00BC07AF"/>
    <w:rsid w:val="00BE4691"/>
    <w:rsid w:val="00CD5476"/>
    <w:rsid w:val="00CF79F7"/>
    <w:rsid w:val="00D728A8"/>
    <w:rsid w:val="00D7580A"/>
    <w:rsid w:val="00F67386"/>
    <w:rsid w:val="00FD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C46F"/>
  <w15:chartTrackingRefBased/>
  <w15:docId w15:val="{CBB017BD-3EA2-41F3-9859-6B1481E2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58E"/>
  </w:style>
  <w:style w:type="paragraph" w:styleId="Footer">
    <w:name w:val="footer"/>
    <w:basedOn w:val="Normal"/>
    <w:link w:val="FooterChar"/>
    <w:uiPriority w:val="99"/>
    <w:unhideWhenUsed/>
    <w:rsid w:val="00FD4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58E"/>
  </w:style>
  <w:style w:type="paragraph" w:styleId="ListParagraph">
    <w:name w:val="List Paragraph"/>
    <w:basedOn w:val="Normal"/>
    <w:uiPriority w:val="34"/>
    <w:qFormat/>
    <w:rsid w:val="001A0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0F2C4-3458-4892-9B0B-0440AE3B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Trish</dc:creator>
  <cp:keywords/>
  <dc:description/>
  <cp:lastModifiedBy>Deighton, Yvette</cp:lastModifiedBy>
  <cp:revision>2</cp:revision>
  <cp:lastPrinted>2017-07-14T17:50:00Z</cp:lastPrinted>
  <dcterms:created xsi:type="dcterms:W3CDTF">2018-06-07T20:27:00Z</dcterms:created>
  <dcterms:modified xsi:type="dcterms:W3CDTF">2018-06-07T20:27:00Z</dcterms:modified>
</cp:coreProperties>
</file>